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B24894">
        <w:rPr>
          <w:rFonts w:ascii="Arial" w:hAnsi="Arial" w:cs="Arial"/>
          <w:b w:val="0"/>
          <w:sz w:val="34"/>
          <w:szCs w:val="34"/>
        </w:rPr>
        <w:t>Link Layer – Scheduling</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was approved at GERAN#62, see [1].</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 xml:space="preserve">7, a new system design, i.e., </w:t>
      </w:r>
      <w:r w:rsidR="00B24894">
        <w:t>Narrowband LTE (</w:t>
      </w:r>
      <w:r>
        <w:t>NB</w:t>
      </w:r>
      <w:r w:rsidR="00B24894">
        <w:t>-</w:t>
      </w:r>
      <w:r>
        <w:t>LTE</w:t>
      </w:r>
      <w:r w:rsidR="00B24894">
        <w:t>)</w:t>
      </w:r>
      <w:r>
        <w:t>, based on the current LTE system but use only</w:t>
      </w:r>
      <w:r w:rsidR="005F61C0">
        <w:t xml:space="preserve"> 200 KHz bandwidth is proposed in </w:t>
      </w:r>
      <w:r w:rsidR="00B24894" w:rsidRPr="00B24894">
        <w:t>GP-150779</w:t>
      </w:r>
      <w:r w:rsidR="005F61C0">
        <w:t xml:space="preserve">. </w:t>
      </w:r>
      <w:r w:rsidR="009C3459">
        <w:t xml:space="preserve">This document contains the description </w:t>
      </w:r>
      <w:r w:rsidR="00B24894">
        <w:t>the scheduling principles for the PDSCH and PUSCH and the related Downlink Control Information (DCI)</w:t>
      </w:r>
      <w:r w:rsidR="009C3459">
        <w:t xml:space="preserve">. </w:t>
      </w:r>
    </w:p>
    <w:p w:rsidR="00EB4464" w:rsidRDefault="00EB4464" w:rsidP="00EB4464">
      <w:pPr>
        <w:pStyle w:val="Heading2"/>
      </w:pPr>
      <w:r>
        <w:t>1.3</w:t>
      </w:r>
      <w:r>
        <w:tab/>
        <w:t>Summary of change</w:t>
      </w:r>
    </w:p>
    <w:p w:rsidR="00957EA5" w:rsidRPr="00F16AC5" w:rsidRDefault="00B24894" w:rsidP="00F16AC5">
      <w:r>
        <w:t xml:space="preserve">Addition of </w:t>
      </w:r>
      <w:r w:rsidRPr="00B24894">
        <w:t>the scheduling principles for the PDSCH and PUSCH and the related Dow</w:t>
      </w:r>
      <w:r>
        <w:t>nlink Control Information (DCI) on (E</w:t>
      </w:r>
      <w:proofErr w:type="gramStart"/>
      <w:r>
        <w:t>)PDCCH</w:t>
      </w:r>
      <w:proofErr w:type="gramEnd"/>
      <w:r w:rsidR="004832E0">
        <w:t>.</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9C3459" w:rsidRDefault="009C3459" w:rsidP="005F61C0">
      <w:pPr>
        <w:pStyle w:val="Heading2"/>
        <w:rPr>
          <w:sz w:val="36"/>
        </w:rPr>
      </w:pPr>
      <w:r w:rsidRPr="009C3459">
        <w:rPr>
          <w:sz w:val="36"/>
        </w:rPr>
        <w:t>7.</w:t>
      </w:r>
      <w:r w:rsidR="00B16314">
        <w:rPr>
          <w:sz w:val="36"/>
        </w:rPr>
        <w:t>4</w:t>
      </w:r>
      <w:r w:rsidR="006341D0">
        <w:rPr>
          <w:sz w:val="36"/>
        </w:rPr>
        <w:t>.</w:t>
      </w:r>
      <w:r w:rsidR="002B0812">
        <w:rPr>
          <w:sz w:val="36"/>
        </w:rPr>
        <w:t>4</w:t>
      </w:r>
      <w:r w:rsidRPr="009C3459">
        <w:rPr>
          <w:sz w:val="36"/>
        </w:rPr>
        <w:tab/>
      </w:r>
      <w:r w:rsidR="002B0812">
        <w:rPr>
          <w:sz w:val="36"/>
        </w:rPr>
        <w:t>Link Layer</w:t>
      </w:r>
    </w:p>
    <w:p w:rsidR="002B0812" w:rsidRPr="002B0812" w:rsidRDefault="002B0812" w:rsidP="002B0812">
      <w:pPr>
        <w:rPr>
          <w:color w:val="FF0000"/>
        </w:rPr>
      </w:pPr>
      <w:r w:rsidRPr="002B0812">
        <w:rPr>
          <w:color w:val="FF0000"/>
        </w:rPr>
        <w:t>&lt;Unmodified sections omitted&gt;</w:t>
      </w:r>
    </w:p>
    <w:p w:rsidR="00966D37" w:rsidRDefault="00966D37" w:rsidP="00966D37">
      <w:pPr>
        <w:pStyle w:val="Heading3"/>
        <w:rPr>
          <w:ins w:id="1" w:author="Yutao Sui" w:date="2015-08-05T03:41:00Z"/>
        </w:rPr>
      </w:pPr>
      <w:ins w:id="2" w:author="Yutao Sui" w:date="2015-08-05T03:41:00Z">
        <w:r w:rsidRPr="00B16314">
          <w:t>7.</w:t>
        </w:r>
        <w:r>
          <w:t>4.4</w:t>
        </w:r>
        <w:r w:rsidRPr="00B16314">
          <w:t>.</w:t>
        </w:r>
        <w:r>
          <w:t>2</w:t>
        </w:r>
        <w:r w:rsidRPr="00B16314">
          <w:t xml:space="preserve"> </w:t>
        </w:r>
        <w:r w:rsidRPr="00B16314">
          <w:tab/>
        </w:r>
        <w:r>
          <w:t>Scheduling</w:t>
        </w:r>
      </w:ins>
    </w:p>
    <w:p w:rsidR="00966D37" w:rsidRDefault="00966D37" w:rsidP="00966D37">
      <w:pPr>
        <w:rPr>
          <w:ins w:id="3" w:author="Yutao Sui" w:date="2015-08-05T03:41:00Z"/>
          <w:rFonts w:eastAsiaTheme="minorEastAsia"/>
        </w:rPr>
      </w:pPr>
      <w:ins w:id="4" w:author="Yutao Sui" w:date="2015-08-05T03:41:00Z">
        <w:r>
          <w:rPr>
            <w:rFonts w:eastAsiaTheme="minorEastAsia"/>
          </w:rPr>
          <w:t>As in LTE, the uplink and downlink shared channels of NB-LTE are fully scheduled by the base station. To do so, the base station sends downlink control information (downlink assignments and uplink grants) to the MS via a control channel. There are two variants of such a control channel in LTE, namely the PDCCH (</w:t>
        </w:r>
        <w:r w:rsidRPr="00834AA8">
          <w:rPr>
            <w:rFonts w:eastAsiaTheme="minorEastAsia"/>
          </w:rPr>
          <w:t>Physical Downlink Control Channel</w:t>
        </w:r>
        <w:r>
          <w:rPr>
            <w:rFonts w:eastAsiaTheme="minorEastAsia"/>
          </w:rPr>
          <w:t xml:space="preserve">) and the </w:t>
        </w:r>
        <w:r w:rsidRPr="00834AA8">
          <w:rPr>
            <w:rFonts w:eastAsiaTheme="minorEastAsia"/>
          </w:rPr>
          <w:t>EPDCCH</w:t>
        </w:r>
        <w:r>
          <w:rPr>
            <w:rFonts w:eastAsiaTheme="minorEastAsia"/>
          </w:rPr>
          <w:t xml:space="preserve"> (</w:t>
        </w:r>
        <w:r w:rsidRPr="00834AA8">
          <w:rPr>
            <w:rFonts w:eastAsiaTheme="minorEastAsia"/>
          </w:rPr>
          <w:t>Enhanced Physical Downlink Control Channel</w:t>
        </w:r>
        <w:r>
          <w:rPr>
            <w:rFonts w:eastAsiaTheme="minorEastAsia"/>
          </w:rPr>
          <w:t xml:space="preserve">). </w:t>
        </w:r>
      </w:ins>
    </w:p>
    <w:p w:rsidR="00966D37" w:rsidRDefault="00966D37" w:rsidP="00966D37">
      <w:pPr>
        <w:rPr>
          <w:ins w:id="5" w:author="Yutao Sui" w:date="2015-08-05T03:41:00Z"/>
          <w:rFonts w:eastAsiaTheme="minorEastAsia"/>
        </w:rPr>
      </w:pPr>
      <w:ins w:id="6" w:author="Yutao Sui" w:date="2015-08-05T03:41:00Z">
        <w:r>
          <w:rPr>
            <w:rFonts w:eastAsiaTheme="minorEastAsia"/>
          </w:rPr>
          <w:t>Due to benefits in terms of performance (see section 7.4.6.1.3) and other benefits outlined below, the p</w:t>
        </w:r>
        <w:r w:rsidRPr="005C23D9">
          <w:rPr>
            <w:rFonts w:eastAsiaTheme="minorEastAsia"/>
          </w:rPr>
          <w:t xml:space="preserve">hysical </w:t>
        </w:r>
        <w:r>
          <w:rPr>
            <w:rFonts w:eastAsiaTheme="minorEastAsia"/>
          </w:rPr>
          <w:t>d</w:t>
        </w:r>
        <w:r w:rsidRPr="005C23D9">
          <w:rPr>
            <w:rFonts w:eastAsiaTheme="minorEastAsia"/>
          </w:rPr>
          <w:t xml:space="preserve">ownlink </w:t>
        </w:r>
        <w:r>
          <w:rPr>
            <w:rFonts w:eastAsiaTheme="minorEastAsia"/>
          </w:rPr>
          <w:t>c</w:t>
        </w:r>
        <w:r w:rsidRPr="005C23D9">
          <w:rPr>
            <w:rFonts w:eastAsiaTheme="minorEastAsia"/>
          </w:rPr>
          <w:t xml:space="preserve">ontrol </w:t>
        </w:r>
        <w:r>
          <w:rPr>
            <w:rFonts w:eastAsiaTheme="minorEastAsia"/>
          </w:rPr>
          <w:t>c</w:t>
        </w:r>
        <w:r w:rsidRPr="005C23D9">
          <w:rPr>
            <w:rFonts w:eastAsiaTheme="minorEastAsia"/>
          </w:rPr>
          <w:t xml:space="preserve">hannel </w:t>
        </w:r>
        <w:r>
          <w:rPr>
            <w:rFonts w:eastAsiaTheme="minorEastAsia"/>
          </w:rPr>
          <w:t xml:space="preserve">for NB-LTE should follow an EPDCCH-like design and is herein denoted as M-EPDCCH. </w:t>
        </w:r>
      </w:ins>
    </w:p>
    <w:p w:rsidR="00966D37" w:rsidRDefault="00966D37" w:rsidP="00966D37">
      <w:pPr>
        <w:rPr>
          <w:ins w:id="7" w:author="Yutao Sui" w:date="2015-08-05T03:41:00Z"/>
          <w:rFonts w:eastAsiaTheme="minorEastAsia"/>
        </w:rPr>
      </w:pPr>
      <w:ins w:id="8" w:author="Yutao Sui" w:date="2015-08-05T03:41:00Z">
        <w:r>
          <w:rPr>
            <w:rFonts w:eastAsiaTheme="minorEastAsia"/>
          </w:rPr>
          <w:t>Furthermore, the following sections outline a bundling scheme applicable to M-PDSCH, M-PUSCH and M-EPDCCH. It enables robust transmission of sufficiently large transport blocks and DCI in challenging coverage situations and follows the TTI Bundling mechanism defined in [</w:t>
        </w:r>
        <w:r w:rsidRPr="00B61A04">
          <w:rPr>
            <w:rFonts w:eastAsiaTheme="minorEastAsia"/>
          </w:rPr>
          <w:t>3GPP TS 36.321</w:t>
        </w:r>
        <w:r>
          <w:rPr>
            <w:rFonts w:eastAsiaTheme="minorEastAsia"/>
          </w:rPr>
          <w:t>].</w:t>
        </w:r>
      </w:ins>
    </w:p>
    <w:p w:rsidR="00966D37" w:rsidRDefault="00966D37" w:rsidP="00966D37">
      <w:pPr>
        <w:pStyle w:val="Heading4"/>
        <w:rPr>
          <w:ins w:id="9" w:author="Yutao Sui" w:date="2015-08-05T03:41:00Z"/>
          <w:rFonts w:eastAsiaTheme="minorEastAsia"/>
        </w:rPr>
      </w:pPr>
      <w:ins w:id="10" w:author="Yutao Sui" w:date="2015-08-05T03:41:00Z">
        <w:r>
          <w:rPr>
            <w:rFonts w:eastAsiaTheme="minorEastAsia"/>
          </w:rPr>
          <w:t>7.4.4.2.1</w:t>
        </w:r>
        <w:r>
          <w:rPr>
            <w:rFonts w:eastAsiaTheme="minorEastAsia"/>
          </w:rPr>
          <w:tab/>
          <w:t>Scheduling of M-PDSCH</w:t>
        </w:r>
      </w:ins>
    </w:p>
    <w:p w:rsidR="00966D37" w:rsidRPr="00E45C95" w:rsidRDefault="00966D37" w:rsidP="00966D37">
      <w:pPr>
        <w:rPr>
          <w:ins w:id="11" w:author="Yutao Sui" w:date="2015-08-05T03:41:00Z"/>
        </w:rPr>
      </w:pPr>
      <w:ins w:id="12" w:author="Yutao Sui" w:date="2015-08-05T03:41:00Z">
        <w:r w:rsidRPr="00E45C95">
          <w:t>In an M-</w:t>
        </w:r>
        <w:proofErr w:type="spellStart"/>
        <w:r w:rsidRPr="00E45C95">
          <w:t>subframe</w:t>
        </w:r>
        <w:proofErr w:type="spellEnd"/>
        <w:r w:rsidRPr="00E45C95">
          <w:t xml:space="preserve">, the minimum scheduling unit is 1 PRB (1 </w:t>
        </w:r>
        <w:proofErr w:type="spellStart"/>
        <w:r w:rsidRPr="00E45C95">
          <w:t>ms</w:t>
        </w:r>
        <w:proofErr w:type="spellEnd"/>
        <w:r w:rsidRPr="00E45C95">
          <w:t xml:space="preserve"> x 180 kHz). Hence, in principle, up to 6 UEs may be scheduled in an M-</w:t>
        </w:r>
        <w:proofErr w:type="spellStart"/>
        <w:r w:rsidRPr="00E45C95">
          <w:t>subframe</w:t>
        </w:r>
        <w:proofErr w:type="spellEnd"/>
        <w:r w:rsidRPr="00E45C95">
          <w:t>. Following the principle of LTE, a transport block is mapped to the scheduling units (PRBs) assigned to a UE in one M-</w:t>
        </w:r>
        <w:proofErr w:type="spellStart"/>
        <w:r w:rsidRPr="00E45C95">
          <w:t>subframe</w:t>
        </w:r>
        <w:proofErr w:type="spellEnd"/>
        <w:r w:rsidRPr="00E45C95">
          <w:t xml:space="preserve">. Unlike LTE, these scheduling units now appear in time dimension </w:t>
        </w:r>
        <w:r>
          <w:t xml:space="preserve">(see section </w:t>
        </w:r>
        <w:r w:rsidRPr="00F06890">
          <w:t>7.4.2.2</w:t>
        </w:r>
        <w:r>
          <w:t xml:space="preserve">) </w:t>
        </w:r>
        <w:r w:rsidRPr="00E45C95">
          <w:t xml:space="preserve">which results in the structure shown in </w:t>
        </w:r>
        <w:r>
          <w:t>Figure 7.4.4.2.1-1</w:t>
        </w:r>
        <w:r w:rsidRPr="00E45C95">
          <w:t>. Besides that, the structure and DCI formats of the existing</w:t>
        </w:r>
        <w:r>
          <w:t xml:space="preserve"> LTE </w:t>
        </w:r>
        <w:r w:rsidRPr="00E45C95">
          <w:t xml:space="preserve">PDCCH are re-used. </w:t>
        </w:r>
      </w:ins>
    </w:p>
    <w:p w:rsidR="00966D37" w:rsidRDefault="00966D37" w:rsidP="00966D37">
      <w:pPr>
        <w:rPr>
          <w:ins w:id="13" w:author="Yutao Sui" w:date="2015-08-05T03:41:00Z"/>
        </w:rPr>
      </w:pPr>
      <w:ins w:id="14" w:author="Yutao Sui" w:date="2015-08-05T03:41:00Z">
        <w:r w:rsidRPr="00E45C95">
          <w:t>After the M-</w:t>
        </w:r>
        <w:r>
          <w:t>E</w:t>
        </w:r>
        <w:r w:rsidRPr="00E45C95">
          <w:t>PDCCH occurrence in M-</w:t>
        </w:r>
        <w:proofErr w:type="spellStart"/>
        <w:r w:rsidRPr="00E45C95">
          <w:t>subframe</w:t>
        </w:r>
        <w:proofErr w:type="spellEnd"/>
        <w:r w:rsidRPr="00E45C95">
          <w:t xml:space="preserve"> </w:t>
        </w:r>
        <w:r w:rsidRPr="00E45C95">
          <w:rPr>
            <w:i/>
          </w:rPr>
          <w:t>n</w:t>
        </w:r>
        <w:r w:rsidRPr="00E45C95">
          <w:t>, the UE performs the blind decoding. If it detects a valid DCI on the M-</w:t>
        </w:r>
        <w:r>
          <w:t>E</w:t>
        </w:r>
        <w:r w:rsidRPr="00E45C95">
          <w:t>PDCCH, it attempts to receive the corresponding M-PDSCH in M-</w:t>
        </w:r>
        <w:proofErr w:type="spellStart"/>
        <w:r w:rsidRPr="00E45C95">
          <w:t>subframe</w:t>
        </w:r>
        <w:proofErr w:type="spellEnd"/>
        <w:r w:rsidRPr="00E45C95">
          <w:t xml:space="preserve"> </w:t>
        </w:r>
        <w:r w:rsidRPr="00E45C95">
          <w:rPr>
            <w:i/>
          </w:rPr>
          <w:t>n+1</w:t>
        </w:r>
        <w:r w:rsidRPr="00E45C95">
          <w:t>. That means a downlink assignment received in M-</w:t>
        </w:r>
        <w:proofErr w:type="spellStart"/>
        <w:r w:rsidRPr="00E45C95">
          <w:t>subframe</w:t>
        </w:r>
        <w:proofErr w:type="spellEnd"/>
        <w:r w:rsidRPr="00E45C95">
          <w:t xml:space="preserve"> </w:t>
        </w:r>
        <w:r w:rsidRPr="00E45C95">
          <w:rPr>
            <w:i/>
          </w:rPr>
          <w:t>n</w:t>
        </w:r>
        <w:r w:rsidRPr="00E45C95">
          <w:t xml:space="preserve"> is valid for M-</w:t>
        </w:r>
        <w:proofErr w:type="spellStart"/>
        <w:r w:rsidRPr="00E45C95">
          <w:t>subframe</w:t>
        </w:r>
        <w:proofErr w:type="spellEnd"/>
        <w:r w:rsidRPr="00E45C95">
          <w:t xml:space="preserve"> </w:t>
        </w:r>
        <w:r w:rsidRPr="00E45C95">
          <w:rPr>
            <w:i/>
          </w:rPr>
          <w:t>n+1</w:t>
        </w:r>
        <w:r w:rsidRPr="00E45C95">
          <w:t>. Subsequently, the M-PDCCH in M-</w:t>
        </w:r>
        <w:proofErr w:type="spellStart"/>
        <w:r w:rsidRPr="00E45C95">
          <w:t>subframe</w:t>
        </w:r>
        <w:proofErr w:type="spellEnd"/>
        <w:r w:rsidRPr="00E45C95">
          <w:t xml:space="preserve"> </w:t>
        </w:r>
        <w:r w:rsidRPr="00E45C95">
          <w:rPr>
            <w:i/>
          </w:rPr>
          <w:t>n+1</w:t>
        </w:r>
        <w:r w:rsidRPr="00E45C95">
          <w:t xml:space="preserve"> is valid for M-</w:t>
        </w:r>
        <w:proofErr w:type="spellStart"/>
        <w:r w:rsidRPr="00E45C95">
          <w:t>subframe</w:t>
        </w:r>
        <w:proofErr w:type="spellEnd"/>
        <w:r w:rsidRPr="00E45C95">
          <w:t xml:space="preserve"> </w:t>
        </w:r>
        <w:r w:rsidRPr="00E45C95">
          <w:rPr>
            <w:i/>
          </w:rPr>
          <w:t>n+2</w:t>
        </w:r>
        <w:r w:rsidRPr="00E45C95">
          <w:t xml:space="preserve">, and so on. In order to further relax the processing demand on the UE and to account for </w:t>
        </w:r>
        <w:r w:rsidRPr="00E45C95">
          <w:lastRenderedPageBreak/>
          <w:t xml:space="preserve">timing advance or DL/UL retuning of half-duplex </w:t>
        </w:r>
        <w:proofErr w:type="gramStart"/>
        <w:r w:rsidRPr="00E45C95">
          <w:t>UEs,</w:t>
        </w:r>
        <w:proofErr w:type="gramEnd"/>
        <w:r w:rsidRPr="00E45C95">
          <w:t xml:space="preserve"> it may be preferable to expand the pre-scheduling time. That means, a grant or assignment received on M-</w:t>
        </w:r>
        <w:r>
          <w:t>E</w:t>
        </w:r>
        <w:r w:rsidRPr="00E45C95">
          <w:t>PDCCH in M-</w:t>
        </w:r>
        <w:proofErr w:type="spellStart"/>
        <w:r w:rsidRPr="00E45C95">
          <w:t>subframe</w:t>
        </w:r>
        <w:proofErr w:type="spellEnd"/>
        <w:r w:rsidRPr="00E45C95">
          <w:t xml:space="preserve"> </w:t>
        </w:r>
        <w:r w:rsidRPr="00E45C95">
          <w:rPr>
            <w:i/>
          </w:rPr>
          <w:t>n</w:t>
        </w:r>
        <w:r w:rsidRPr="00E45C95">
          <w:t xml:space="preserve"> becomes valid only in M-</w:t>
        </w:r>
        <w:proofErr w:type="spellStart"/>
        <w:r w:rsidRPr="00E45C95">
          <w:t>subframe</w:t>
        </w:r>
        <w:proofErr w:type="spellEnd"/>
        <w:r w:rsidRPr="00E45C95">
          <w:t xml:space="preserve"> </w:t>
        </w:r>
        <w:proofErr w:type="spellStart"/>
        <w:r w:rsidRPr="00E45C95">
          <w:rPr>
            <w:i/>
          </w:rPr>
          <w:t>n+k</w:t>
        </w:r>
        <w:proofErr w:type="spellEnd"/>
        <w:r w:rsidRPr="00E45C95">
          <w:t xml:space="preserve"> where </w:t>
        </w:r>
        <w:r w:rsidRPr="00E45C95">
          <w:rPr>
            <w:i/>
          </w:rPr>
          <w:t>k &gt;= 2</w:t>
        </w:r>
        <w:r w:rsidRPr="00E45C95">
          <w:t xml:space="preserve">. The following figures illustrate the case where </w:t>
        </w:r>
        <w:r w:rsidRPr="00E45C95">
          <w:rPr>
            <w:i/>
          </w:rPr>
          <w:t>k=1</w:t>
        </w:r>
        <w:r w:rsidRPr="00E45C95">
          <w:t>.</w:t>
        </w:r>
      </w:ins>
    </w:p>
    <w:p w:rsidR="00966D37" w:rsidRPr="00E45C95" w:rsidRDefault="00966D37" w:rsidP="00966D37">
      <w:pPr>
        <w:pStyle w:val="Figure"/>
        <w:rPr>
          <w:ins w:id="15" w:author="Yutao Sui" w:date="2015-08-05T03:41:00Z"/>
        </w:rPr>
      </w:pPr>
      <w:ins w:id="16" w:author="Yutao Sui" w:date="2015-08-05T03:41:00Z">
        <w:r w:rsidRPr="000247D8">
          <w:rPr>
            <w:noProof/>
            <w:lang w:val="sv-SE"/>
          </w:rPr>
          <w:drawing>
            <wp:inline distT="0" distB="0" distL="0" distR="0" wp14:anchorId="26CE6AFA" wp14:editId="57EABD87">
              <wp:extent cx="4713090" cy="1592297"/>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4170" cy="1592662"/>
                      </a:xfrm>
                      <a:prstGeom prst="rect">
                        <a:avLst/>
                      </a:prstGeom>
                      <a:noFill/>
                      <a:ln>
                        <a:noFill/>
                      </a:ln>
                    </pic:spPr>
                  </pic:pic>
                </a:graphicData>
              </a:graphic>
            </wp:inline>
          </w:drawing>
        </w:r>
      </w:ins>
    </w:p>
    <w:p w:rsidR="00966D37" w:rsidRPr="00E45C95" w:rsidRDefault="00966D37" w:rsidP="00966D37">
      <w:pPr>
        <w:pStyle w:val="Caption"/>
        <w:rPr>
          <w:ins w:id="17" w:author="Yutao Sui" w:date="2015-08-05T03:41:00Z"/>
        </w:rPr>
      </w:pPr>
      <w:ins w:id="18" w:author="Yutao Sui" w:date="2015-08-05T03:41:00Z">
        <w:r>
          <w:t>Figure 7.4.4.2.1-1</w:t>
        </w:r>
        <w:r w:rsidRPr="00E45C95">
          <w:t>:  M-PDSCH resource allocation for NB-LTE using existing M-</w:t>
        </w:r>
        <w:r>
          <w:t>E</w:t>
        </w:r>
        <w:r w:rsidRPr="00E45C95">
          <w:t xml:space="preserve">PDCCH formats for 1.4 MHz in combination with forward scheduling. </w:t>
        </w:r>
      </w:ins>
    </w:p>
    <w:p w:rsidR="00966D37" w:rsidRPr="00E45C95" w:rsidRDefault="00966D37" w:rsidP="00966D37">
      <w:pPr>
        <w:rPr>
          <w:ins w:id="19" w:author="Yutao Sui" w:date="2015-08-05T03:41:00Z"/>
        </w:rPr>
      </w:pPr>
      <w:ins w:id="20" w:author="Yutao Sui" w:date="2015-08-05T03:41:00Z">
        <w:r w:rsidRPr="00E45C95">
          <w:t xml:space="preserve">For UEs in basic coverage </w:t>
        </w:r>
        <w:r>
          <w:t xml:space="preserve">the EPDDCH-based design is advantageous compared to a PDCCH-based approach in terms of </w:t>
        </w:r>
        <w:r w:rsidRPr="00E45C95">
          <w:t>battery consumption</w:t>
        </w:r>
        <w:r>
          <w:t xml:space="preserve">: As it occupies only a subset of the </w:t>
        </w:r>
        <w:proofErr w:type="spellStart"/>
        <w:r>
          <w:t>subframes</w:t>
        </w:r>
        <w:proofErr w:type="spellEnd"/>
        <w:r>
          <w:t xml:space="preserve"> within the M-</w:t>
        </w:r>
        <w:proofErr w:type="spellStart"/>
        <w:r>
          <w:t>subframe</w:t>
        </w:r>
        <w:proofErr w:type="spellEnd"/>
        <w:r>
          <w:t xml:space="preserve"> as shown in Figure 7.4.4.2.1-1, it enables the UE to sleep longer. </w:t>
        </w:r>
        <w:r w:rsidRPr="00E45C95">
          <w:t xml:space="preserve">Secondly, the UE has time to decode the DCI and, in case of uplink, to prepare the corresponding transport block. Furthermore, when an NB-LTE carrier is deployed within a legacy LTE carrier, the PDCCH of the latter would only coincide with a few symbols of the M-EPDCCH of the former (shown as light-grey vertical bars in </w:t>
        </w:r>
        <w:r>
          <w:t>Figure 7.4.4.2.1-1</w:t>
        </w:r>
        <w:r w:rsidRPr="00E45C95">
          <w:t xml:space="preserve">). Fortunately, LTE already specifies how to handle this overlap of PDCCH and EPDCCH on a legacy LTE carrier and hence no new functionality needs to be added. The reduced time diversity compared to the PDCCH based approach may have slightly negative impact on the reception performance. However, as shown in </w:t>
        </w:r>
        <w:r>
          <w:t xml:space="preserve">section </w:t>
        </w:r>
        <w:r w:rsidRPr="00784752">
          <w:t>7.4.6.1.3</w:t>
        </w:r>
        <w:r>
          <w:t xml:space="preserve"> </w:t>
        </w:r>
        <w:r w:rsidRPr="00E45C95">
          <w:t>the M-EPDCCH generally outperforms the M-PDCCH.</w:t>
        </w:r>
      </w:ins>
    </w:p>
    <w:p w:rsidR="00966D37" w:rsidRPr="00E45C95" w:rsidRDefault="00966D37" w:rsidP="00966D37">
      <w:pPr>
        <w:rPr>
          <w:ins w:id="21" w:author="Yutao Sui" w:date="2015-08-05T03:41:00Z"/>
        </w:rPr>
      </w:pPr>
      <w:ins w:id="22" w:author="Yutao Sui" w:date="2015-08-05T03:41:00Z">
        <w:r w:rsidRPr="00E45C95">
          <w:t>With decreasing channel quality the number of bits that can be carried in the M-PDSCH of an M-</w:t>
        </w:r>
        <w:proofErr w:type="spellStart"/>
        <w:r w:rsidRPr="00E45C95">
          <w:t>subframe</w:t>
        </w:r>
        <w:proofErr w:type="spellEnd"/>
        <w:r w:rsidRPr="00E45C95">
          <w:t xml:space="preserve"> decreases. In other words, the transport block size that can be received with a desirable block error rate decreases. </w:t>
        </w:r>
        <w:r>
          <w:t>As a consequence</w:t>
        </w:r>
        <w:r w:rsidRPr="00E45C95">
          <w:t>, the relative L1/2 protocol overhead increases with decreasing transport block size. For the highest targeted Maximum Coupling Loss (MCL) the expected M-PDSCH data rate is in the order of a few kbps (see</w:t>
        </w:r>
        <w:r>
          <w:t xml:space="preserve"> section </w:t>
        </w:r>
        <w:r w:rsidRPr="00811F1E">
          <w:t>7.4.6</w:t>
        </w:r>
        <w:r>
          <w:t>.1.3</w:t>
        </w:r>
        <w:r w:rsidRPr="00E45C95">
          <w:t>), which corresponds to a few octets in each M-</w:t>
        </w:r>
        <w:proofErr w:type="spellStart"/>
        <w:r w:rsidRPr="00E45C95">
          <w:t>subframe</w:t>
        </w:r>
        <w:proofErr w:type="spellEnd"/>
        <w:r w:rsidRPr="00E45C95">
          <w:t>. This is in the same order or even less than the L2 protocol overhead and the L1 CRC. In order to reduce the relative protocol overhead, the size of a transport block needs to be increased by expanding it in the time domain beyond one M-</w:t>
        </w:r>
        <w:proofErr w:type="spellStart"/>
        <w:r w:rsidRPr="00E45C95">
          <w:t>subframe</w:t>
        </w:r>
        <w:proofErr w:type="spellEnd"/>
        <w:r w:rsidRPr="00E45C95">
          <w:t>. The same basic principle is supported in LTE and known as “TTI bundling” (see section 5.4.2.1 of</w:t>
        </w:r>
        <w:r>
          <w:t xml:space="preserve"> [</w:t>
        </w:r>
        <w:r w:rsidRPr="00811F1E">
          <w:t>3GPP TS 36.321</w:t>
        </w:r>
        <w:r>
          <w:t>]</w:t>
        </w:r>
        <w:r w:rsidRPr="00E45C95">
          <w:t xml:space="preserve">). </w:t>
        </w:r>
      </w:ins>
    </w:p>
    <w:p w:rsidR="00966D37" w:rsidRDefault="00966D37" w:rsidP="00966D37">
      <w:pPr>
        <w:rPr>
          <w:ins w:id="23" w:author="Yutao Sui" w:date="2015-08-05T03:41:00Z"/>
        </w:rPr>
      </w:pPr>
      <w:ins w:id="24" w:author="Yutao Sui" w:date="2015-08-05T03:41:00Z">
        <w:r w:rsidRPr="00E45C95">
          <w:t>When applied in the context of NB-LTE as described above, a downlink assignment received in M-</w:t>
        </w:r>
        <w:proofErr w:type="spellStart"/>
        <w:r w:rsidRPr="00E45C95">
          <w:t>subframe</w:t>
        </w:r>
        <w:proofErr w:type="spellEnd"/>
        <w:r w:rsidRPr="00E45C95">
          <w:t xml:space="preserve"> </w:t>
        </w:r>
        <w:r w:rsidRPr="00E45C95">
          <w:rPr>
            <w:i/>
          </w:rPr>
          <w:t>n</w:t>
        </w:r>
        <w:r w:rsidRPr="00E45C95">
          <w:t xml:space="preserve"> is not only valid for an initial transmission in M-</w:t>
        </w:r>
        <w:proofErr w:type="spellStart"/>
        <w:r w:rsidRPr="00E45C95">
          <w:t>subframe</w:t>
        </w:r>
        <w:proofErr w:type="spellEnd"/>
        <w:r w:rsidRPr="00E45C95">
          <w:t xml:space="preserve"> </w:t>
        </w:r>
        <w:r w:rsidRPr="00E45C95">
          <w:rPr>
            <w:i/>
          </w:rPr>
          <w:t>n+1</w:t>
        </w:r>
        <w:r w:rsidRPr="00E45C95">
          <w:t xml:space="preserve"> but also for a number of retransmissions in the subsequent M-</w:t>
        </w:r>
        <w:proofErr w:type="spellStart"/>
        <w:r w:rsidRPr="00E45C95">
          <w:t>subframes</w:t>
        </w:r>
        <w:proofErr w:type="spellEnd"/>
        <w:r w:rsidRPr="00E45C95">
          <w:t xml:space="preserve">. On the receiver side (here the UE), the transmission attempts are soft-combined. In order to efficiently address the coverage extension of 20 dB, the bundling level in NB-LTE should be configurable on a per-UE basis. It could be configured semi-statically by RRC or be signalled as part of the downlink control information. In </w:t>
        </w:r>
        <w:r>
          <w:t xml:space="preserve">section </w:t>
        </w:r>
        <w:r w:rsidRPr="00811F1E">
          <w:t>7.4.6</w:t>
        </w:r>
        <w:r>
          <w:t xml:space="preserve">.1.3 </w:t>
        </w:r>
        <w:r w:rsidRPr="00E45C95">
          <w:t>bundling levels of 1, 6 and 36 have been used. That means, an assignment is valid for the following 1, 6 or 36 M-</w:t>
        </w:r>
        <w:proofErr w:type="spellStart"/>
        <w:r w:rsidRPr="00E45C95">
          <w:t>subframes</w:t>
        </w:r>
        <w:proofErr w:type="spellEnd"/>
        <w:r w:rsidRPr="00E45C95">
          <w:t xml:space="preserve">. </w:t>
        </w:r>
      </w:ins>
    </w:p>
    <w:p w:rsidR="00966D37" w:rsidRDefault="00966D37" w:rsidP="00966D37">
      <w:pPr>
        <w:rPr>
          <w:ins w:id="25" w:author="Yutao Sui" w:date="2015-08-05T03:41:00Z"/>
        </w:rPr>
      </w:pPr>
      <w:ins w:id="26" w:author="Yutao Sui" w:date="2015-08-05T03:41:00Z">
        <w:r>
          <w:t xml:space="preserve">But not only the M-PDSCH but also the M-EPDCCH requires repetitions in order to ensure successful reception by UEs in “robust” or “extreme” coverage situations. The </w:t>
        </w:r>
        <w:r w:rsidRPr="00E45C95">
          <w:t xml:space="preserve">M-EPDCCH evaluation </w:t>
        </w:r>
        <w:r>
          <w:t xml:space="preserve">in </w:t>
        </w:r>
        <w:r w:rsidRPr="003267C5">
          <w:t>section 7.4.6.1.3</w:t>
        </w:r>
        <w:r>
          <w:t xml:space="preserve"> </w:t>
        </w:r>
        <w:r w:rsidRPr="00E45C95">
          <w:t>shows that the transmission of a DCI block (UL grant, DL assignment) of 64 bit (48 DCI + 16 CRC) requires 0.5, 4 and 48 PRBs (</w:t>
        </w:r>
        <w:proofErr w:type="spellStart"/>
        <w:r w:rsidRPr="00E45C95">
          <w:t>subframes</w:t>
        </w:r>
        <w:proofErr w:type="spellEnd"/>
        <w:r w:rsidRPr="00E45C95">
          <w:t xml:space="preserve">) in basic, robust and extreme coverage, respectively. </w:t>
        </w:r>
      </w:ins>
    </w:p>
    <w:p w:rsidR="00966D37" w:rsidRPr="00E45C95" w:rsidRDefault="00966D37" w:rsidP="00966D37">
      <w:pPr>
        <w:rPr>
          <w:ins w:id="27" w:author="Yutao Sui" w:date="2015-08-05T03:41:00Z"/>
        </w:rPr>
      </w:pPr>
      <w:ins w:id="28" w:author="Yutao Sui" w:date="2015-08-05T03:41:00Z">
        <w:r w:rsidRPr="00E45C95">
          <w:t xml:space="preserve">The example in </w:t>
        </w:r>
        <w:r>
          <w:t>Figure 7.4.4.2.1-2</w:t>
        </w:r>
        <w:r w:rsidRPr="00E45C95">
          <w:t xml:space="preserve"> shows how an M-EPDCCH using 4 PRBs provides a DL assignment to a UE in robust coverage. </w:t>
        </w:r>
      </w:ins>
    </w:p>
    <w:p w:rsidR="00966D37" w:rsidRPr="00E45C95" w:rsidRDefault="00966D37" w:rsidP="00966D37">
      <w:pPr>
        <w:pStyle w:val="Figure"/>
        <w:rPr>
          <w:ins w:id="29" w:author="Yutao Sui" w:date="2015-08-05T03:41:00Z"/>
        </w:rPr>
      </w:pPr>
      <w:ins w:id="30" w:author="Yutao Sui" w:date="2015-08-05T03:41:00Z">
        <w:r w:rsidRPr="00A33C32">
          <w:rPr>
            <w:noProof/>
            <w:lang w:val="sv-SE"/>
          </w:rPr>
          <w:lastRenderedPageBreak/>
          <w:drawing>
            <wp:inline distT="0" distB="0" distL="0" distR="0" wp14:anchorId="6375D389" wp14:editId="3A411366">
              <wp:extent cx="6122035" cy="1366092"/>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366092"/>
                      </a:xfrm>
                      <a:prstGeom prst="rect">
                        <a:avLst/>
                      </a:prstGeom>
                      <a:noFill/>
                      <a:ln>
                        <a:noFill/>
                      </a:ln>
                    </pic:spPr>
                  </pic:pic>
                </a:graphicData>
              </a:graphic>
            </wp:inline>
          </w:drawing>
        </w:r>
      </w:ins>
    </w:p>
    <w:p w:rsidR="00966D37" w:rsidRPr="00E45C95" w:rsidRDefault="00966D37" w:rsidP="00966D37">
      <w:pPr>
        <w:pStyle w:val="Caption"/>
        <w:rPr>
          <w:ins w:id="31" w:author="Yutao Sui" w:date="2015-08-05T03:41:00Z"/>
        </w:rPr>
      </w:pPr>
      <w:ins w:id="32" w:author="Yutao Sui" w:date="2015-08-05T03:41:00Z">
        <w:r>
          <w:t>Figure 7.4.4.2.1-2</w:t>
        </w:r>
        <w:r w:rsidRPr="00E45C95">
          <w:t xml:space="preserve">: M-EPDCCH for a UE in robust coverage extension </w:t>
        </w:r>
        <w:proofErr w:type="gramStart"/>
        <w:r w:rsidRPr="00E45C95">
          <w:t>mode</w:t>
        </w:r>
        <w:proofErr w:type="gramEnd"/>
        <w:r w:rsidRPr="00E45C95">
          <w:br/>
          <w:t>(M-EPDCCH on 4 PRBs followed by M-PDSCH on 6 entire M-</w:t>
        </w:r>
        <w:proofErr w:type="spellStart"/>
        <w:r w:rsidRPr="00E45C95">
          <w:t>subframes</w:t>
        </w:r>
        <w:proofErr w:type="spellEnd"/>
        <w:r w:rsidRPr="00E45C95">
          <w:t>)</w:t>
        </w:r>
      </w:ins>
    </w:p>
    <w:p w:rsidR="00966D37" w:rsidRPr="00E45C95" w:rsidRDefault="00966D37" w:rsidP="00966D37">
      <w:pPr>
        <w:rPr>
          <w:ins w:id="33" w:author="Yutao Sui" w:date="2015-08-05T03:41:00Z"/>
        </w:rPr>
      </w:pPr>
      <w:ins w:id="34" w:author="Yutao Sui" w:date="2015-08-05T03:41:00Z">
        <w:r w:rsidRPr="00E45C95">
          <w:t>In “extreme” coverage conditions (MCL ~ 164 dB) the M-EPDCCH resources configurable in one M-</w:t>
        </w:r>
        <w:proofErr w:type="spellStart"/>
        <w:r w:rsidRPr="00E45C95">
          <w:t>subframe</w:t>
        </w:r>
        <w:proofErr w:type="spellEnd"/>
        <w:r w:rsidRPr="00E45C95">
          <w:t xml:space="preserve"> will not be sufficient as shown in</w:t>
        </w:r>
        <w:r>
          <w:t xml:space="preserve"> </w:t>
        </w:r>
        <w:r w:rsidRPr="00FE37F6">
          <w:t>section 7.4.6.1.3</w:t>
        </w:r>
        <w:r w:rsidRPr="00E45C95">
          <w:t xml:space="preserve">. Hence, the M-EPDCCH transmission needs to be expanded across </w:t>
        </w:r>
        <w:r>
          <w:t xml:space="preserve">several </w:t>
        </w:r>
        <w:r w:rsidRPr="00E45C95">
          <w:t>M-</w:t>
        </w:r>
        <w:proofErr w:type="spellStart"/>
        <w:r w:rsidRPr="00E45C95">
          <w:t>subframes</w:t>
        </w:r>
        <w:proofErr w:type="spellEnd"/>
        <w:r w:rsidRPr="00E45C95">
          <w:t xml:space="preserve">. This expansion does not follow naturally from the time domain expansion principle by a factor of 6 outlined in </w:t>
        </w:r>
        <w:r w:rsidRPr="00FE37F6">
          <w:t>section 7.4.2.2</w:t>
        </w:r>
        <w:r w:rsidRPr="00E45C95">
          <w:t xml:space="preserve">. However, it is very similar to the bundling scheme introduced for the M-PDSCH. An example </w:t>
        </w:r>
        <w:r>
          <w:t xml:space="preserve">for extreme coverage </w:t>
        </w:r>
        <w:r w:rsidRPr="00E45C95">
          <w:t xml:space="preserve">is shown in </w:t>
        </w:r>
        <w:r>
          <w:t xml:space="preserve">Figure 7.4.4.2.1-3 (using the repetition levels determined in section </w:t>
        </w:r>
        <w:r w:rsidRPr="008F79E0">
          <w:t>7.4.6.1.3</w:t>
        </w:r>
        <w:r>
          <w:t>)</w:t>
        </w:r>
        <w:r w:rsidRPr="00E45C95">
          <w:t>.</w:t>
        </w:r>
      </w:ins>
    </w:p>
    <w:p w:rsidR="00966D37" w:rsidRPr="00E45C95" w:rsidRDefault="00966D37" w:rsidP="00966D37">
      <w:pPr>
        <w:pStyle w:val="Figure"/>
        <w:rPr>
          <w:ins w:id="35" w:author="Yutao Sui" w:date="2015-08-05T03:41:00Z"/>
        </w:rPr>
      </w:pPr>
      <w:ins w:id="36" w:author="Yutao Sui" w:date="2015-08-05T03:41:00Z">
        <w:r w:rsidRPr="00185BC6">
          <w:rPr>
            <w:noProof/>
            <w:lang w:val="sv-SE"/>
          </w:rPr>
          <w:drawing>
            <wp:inline distT="0" distB="0" distL="0" distR="0" wp14:anchorId="6D9207B8" wp14:editId="163F0B9E">
              <wp:extent cx="6122035" cy="1483199"/>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483199"/>
                      </a:xfrm>
                      <a:prstGeom prst="rect">
                        <a:avLst/>
                      </a:prstGeom>
                      <a:noFill/>
                      <a:ln>
                        <a:noFill/>
                      </a:ln>
                    </pic:spPr>
                  </pic:pic>
                </a:graphicData>
              </a:graphic>
            </wp:inline>
          </w:drawing>
        </w:r>
      </w:ins>
    </w:p>
    <w:p w:rsidR="00966D37" w:rsidRPr="00E45C95" w:rsidRDefault="00966D37" w:rsidP="00966D37">
      <w:pPr>
        <w:pStyle w:val="Caption"/>
        <w:rPr>
          <w:ins w:id="37" w:author="Yutao Sui" w:date="2015-08-05T03:41:00Z"/>
        </w:rPr>
      </w:pPr>
      <w:ins w:id="38" w:author="Yutao Sui" w:date="2015-08-05T03:41:00Z">
        <w:r>
          <w:t>Figure 7.4.4.2.1-3</w:t>
        </w:r>
        <w:r w:rsidRPr="00E45C95">
          <w:t>: M-EPDCCH for a UE in extreme coverage extension mode</w:t>
        </w:r>
        <w:r>
          <w:br/>
        </w:r>
        <w:r w:rsidRPr="00A33C32">
          <w:t>NOTE: Each square in this figure depicts an M-</w:t>
        </w:r>
        <w:proofErr w:type="spellStart"/>
        <w:r w:rsidRPr="00A33C32">
          <w:t>subframe</w:t>
        </w:r>
        <w:proofErr w:type="spellEnd"/>
        <w:r w:rsidRPr="00A33C32">
          <w:t xml:space="preserve"> (6 </w:t>
        </w:r>
        <w:proofErr w:type="spellStart"/>
        <w:r w:rsidRPr="00A33C32">
          <w:t>ms</w:t>
        </w:r>
        <w:proofErr w:type="spellEnd"/>
        <w:r w:rsidRPr="00A33C32">
          <w:t xml:space="preserve">) consisting of 6 </w:t>
        </w:r>
        <w:proofErr w:type="spellStart"/>
        <w:r w:rsidRPr="00A33C32">
          <w:t>subframes</w:t>
        </w:r>
        <w:proofErr w:type="spellEnd"/>
        <w:r w:rsidRPr="00A33C32">
          <w:t>!</w:t>
        </w:r>
      </w:ins>
    </w:p>
    <w:p w:rsidR="00966D37" w:rsidRPr="00E45C95" w:rsidRDefault="00966D37" w:rsidP="00966D37">
      <w:pPr>
        <w:rPr>
          <w:ins w:id="39" w:author="Yutao Sui" w:date="2015-08-05T03:41:00Z"/>
        </w:rPr>
      </w:pPr>
      <w:ins w:id="40" w:author="Yutao Sui" w:date="2015-08-05T03:41:00Z">
        <w:r w:rsidRPr="00E45C95">
          <w:t>A UE should not be required to read and blindly decode M-EPDCCH continuously in all M-</w:t>
        </w:r>
        <w:proofErr w:type="spellStart"/>
        <w:r w:rsidRPr="00E45C95">
          <w:t>subframes</w:t>
        </w:r>
        <w:proofErr w:type="spellEnd"/>
        <w:r w:rsidRPr="00E45C95">
          <w:t>. It could be configurable whether the M-EPDCCH recurs only once every M-PDSCH bundling window or e.g. twice or four times within this cycle. If, as in the figure</w:t>
        </w:r>
        <w:r>
          <w:t xml:space="preserve"> above</w:t>
        </w:r>
        <w:r w:rsidRPr="00E45C95">
          <w:t>, the UE decodes a valid assignment in M-</w:t>
        </w:r>
        <w:proofErr w:type="spellStart"/>
        <w:r w:rsidRPr="00E45C95">
          <w:t>subframe</w:t>
        </w:r>
        <w:proofErr w:type="spellEnd"/>
        <w:r w:rsidRPr="00E45C95">
          <w:t xml:space="preserve"> </w:t>
        </w:r>
        <w:r w:rsidRPr="00E45C95">
          <w:rPr>
            <w:i/>
          </w:rPr>
          <w:t>n</w:t>
        </w:r>
        <w:r w:rsidRPr="00E45C95">
          <w:t xml:space="preserve">, it knows that the next possible M-EPDCCH occurrence will be after “bundling factor” </w:t>
        </w:r>
        <w:proofErr w:type="spellStart"/>
        <w:r w:rsidRPr="00E45C95">
          <w:t>subframes</w:t>
        </w:r>
        <w:proofErr w:type="spellEnd"/>
        <w:r w:rsidRPr="00E45C95">
          <w:t>. Furthermore, the UE would only attempt to decode M-EPDCCH in M-</w:t>
        </w:r>
        <w:proofErr w:type="spellStart"/>
        <w:r w:rsidRPr="00E45C95">
          <w:t>subframes</w:t>
        </w:r>
        <w:proofErr w:type="spellEnd"/>
        <w:r w:rsidRPr="00E45C95">
          <w:t xml:space="preserve"> where it is not in DRX. </w:t>
        </w:r>
      </w:ins>
    </w:p>
    <w:p w:rsidR="00966D37" w:rsidRDefault="00966D37" w:rsidP="00966D37">
      <w:pPr>
        <w:rPr>
          <w:ins w:id="41" w:author="Yutao Sui" w:date="2015-08-05T03:41:00Z"/>
        </w:rPr>
      </w:pPr>
      <w:ins w:id="42" w:author="Yutao Sui" w:date="2015-08-05T03:41:00Z">
        <w:r w:rsidRPr="00E45C95">
          <w:t xml:space="preserve">It is </w:t>
        </w:r>
        <w:r>
          <w:t xml:space="preserve">also </w:t>
        </w:r>
        <w:r w:rsidRPr="00E45C95">
          <w:t>worth noting that the forward scheduling across many M-</w:t>
        </w:r>
        <w:proofErr w:type="spellStart"/>
        <w:r w:rsidRPr="00E45C95">
          <w:t>subframes</w:t>
        </w:r>
        <w:proofErr w:type="spellEnd"/>
        <w:r w:rsidRPr="00E45C95">
          <w:t xml:space="preserve"> enables temporary use of M-</w:t>
        </w:r>
        <w:r>
          <w:t>E</w:t>
        </w:r>
        <w:r w:rsidRPr="00E45C95">
          <w:t xml:space="preserve">PDCCH resource elements for M-PDSCH. In the example depicted in </w:t>
        </w:r>
        <w:r>
          <w:t>Figure 7.4.4.2.1-3</w:t>
        </w:r>
        <w:r w:rsidRPr="00E45C95">
          <w:t>, the M-</w:t>
        </w:r>
        <w:r>
          <w:t>E</w:t>
        </w:r>
        <w:r w:rsidRPr="00E45C95">
          <w:t xml:space="preserve">PDCCH </w:t>
        </w:r>
        <w:r>
          <w:t xml:space="preserve">on </w:t>
        </w:r>
        <w:r w:rsidRPr="00E45C95">
          <w:t>the left assigns all 6 PRBs in each of 36 subsequent M-</w:t>
        </w:r>
        <w:proofErr w:type="spellStart"/>
        <w:r w:rsidRPr="00E45C95">
          <w:t>subframes</w:t>
        </w:r>
        <w:proofErr w:type="spellEnd"/>
        <w:r w:rsidRPr="00E45C95">
          <w:t xml:space="preserve"> to a single UE. Consequently, this UE does not attempt to receive M-</w:t>
        </w:r>
        <w:r>
          <w:t>E</w:t>
        </w:r>
        <w:r w:rsidRPr="00E45C95">
          <w:t>PDCCH in M-</w:t>
        </w:r>
        <w:proofErr w:type="spellStart"/>
        <w:r w:rsidRPr="00E45C95">
          <w:t>subframes</w:t>
        </w:r>
        <w:proofErr w:type="spellEnd"/>
        <w:r w:rsidRPr="00E45C95">
          <w:t xml:space="preserve"> </w:t>
        </w:r>
        <w:r w:rsidRPr="00E45C95">
          <w:rPr>
            <w:i/>
          </w:rPr>
          <w:t>n+</w:t>
        </w:r>
        <w:r>
          <w:rPr>
            <w:i/>
          </w:rPr>
          <w:t>8</w:t>
        </w:r>
        <w:r w:rsidRPr="00E45C95">
          <w:t xml:space="preserve"> to </w:t>
        </w:r>
        <w:r w:rsidRPr="00E45C95">
          <w:rPr>
            <w:i/>
          </w:rPr>
          <w:t>n+</w:t>
        </w:r>
        <w:r>
          <w:rPr>
            <w:i/>
          </w:rPr>
          <w:t>43</w:t>
        </w:r>
        <w:r w:rsidRPr="00E45C95">
          <w:t xml:space="preserve"> but rather expects these additional resource elements to be allocated to the M-PDSCH</w:t>
        </w:r>
        <w:r>
          <w:t xml:space="preserve"> (except for static allocations such as MIB, SIB, </w:t>
        </w:r>
        <w:proofErr w:type="gramStart"/>
        <w:r>
          <w:t>PSS</w:t>
        </w:r>
        <w:proofErr w:type="gramEnd"/>
        <w:r>
          <w:t>/SSS)</w:t>
        </w:r>
        <w:r w:rsidRPr="00E45C95">
          <w:t>. Other UEs might try to receive M-</w:t>
        </w:r>
        <w:r>
          <w:t>E</w:t>
        </w:r>
        <w:r w:rsidRPr="00E45C95">
          <w:t>PDCCH in those M-</w:t>
        </w:r>
        <w:proofErr w:type="spellStart"/>
        <w:r w:rsidRPr="00E45C95">
          <w:t>subframes</w:t>
        </w:r>
        <w:proofErr w:type="spellEnd"/>
        <w:r w:rsidRPr="00E45C95">
          <w:t xml:space="preserve"> (whenever they are not in DRX) but will not find a valid DCI. Only from M-</w:t>
        </w:r>
        <w:proofErr w:type="spellStart"/>
        <w:r w:rsidRPr="00E45C95">
          <w:t>subframe</w:t>
        </w:r>
        <w:proofErr w:type="spellEnd"/>
        <w:r w:rsidRPr="00E45C95">
          <w:t xml:space="preserve"> </w:t>
        </w:r>
        <w:r w:rsidRPr="00E45C95">
          <w:rPr>
            <w:i/>
          </w:rPr>
          <w:t>n+</w:t>
        </w:r>
        <w:r>
          <w:rPr>
            <w:i/>
          </w:rPr>
          <w:t>44</w:t>
        </w:r>
        <w:r w:rsidRPr="00E45C95">
          <w:t xml:space="preserve"> onwards the </w:t>
        </w:r>
        <w:proofErr w:type="spellStart"/>
        <w:r w:rsidRPr="00E45C95">
          <w:t>eNB</w:t>
        </w:r>
        <w:proofErr w:type="spellEnd"/>
        <w:r w:rsidRPr="00E45C95">
          <w:t xml:space="preserve"> will start sending M-</w:t>
        </w:r>
        <w:r>
          <w:t>E</w:t>
        </w:r>
        <w:r w:rsidRPr="00E45C95">
          <w:t>PDCCH on the M-</w:t>
        </w:r>
        <w:r>
          <w:t>E</w:t>
        </w:r>
        <w:r w:rsidRPr="00E45C95">
          <w:t>PDCCH resource elements.</w:t>
        </w:r>
      </w:ins>
    </w:p>
    <w:p w:rsidR="00966D37" w:rsidRDefault="00966D37" w:rsidP="00966D37">
      <w:pPr>
        <w:pStyle w:val="Heading4"/>
        <w:rPr>
          <w:ins w:id="43" w:author="Yutao Sui" w:date="2015-08-05T03:41:00Z"/>
          <w:rFonts w:eastAsiaTheme="minorEastAsia"/>
        </w:rPr>
      </w:pPr>
      <w:ins w:id="44" w:author="Yutao Sui" w:date="2015-08-05T03:41:00Z">
        <w:r>
          <w:rPr>
            <w:rFonts w:eastAsiaTheme="minorEastAsia"/>
          </w:rPr>
          <w:t>7.4.4.2.2</w:t>
        </w:r>
        <w:r>
          <w:rPr>
            <w:rFonts w:eastAsiaTheme="minorEastAsia"/>
          </w:rPr>
          <w:tab/>
          <w:t>Scheduling of M-PUSCH</w:t>
        </w:r>
      </w:ins>
    </w:p>
    <w:p w:rsidR="00966D37" w:rsidRPr="00E45C95" w:rsidRDefault="00966D37" w:rsidP="00966D37">
      <w:pPr>
        <w:pStyle w:val="BodyText"/>
        <w:rPr>
          <w:ins w:id="45" w:author="Yutao Sui" w:date="2015-08-05T03:41:00Z"/>
        </w:rPr>
      </w:pPr>
      <w:ins w:id="46" w:author="Yutao Sui" w:date="2015-08-05T03:41:00Z">
        <w:r w:rsidRPr="00E45C95">
          <w:t>With the time expansion principle there are still 6 PRBs per M-</w:t>
        </w:r>
        <w:proofErr w:type="spellStart"/>
        <w:r w:rsidRPr="00E45C95">
          <w:t>subframe</w:t>
        </w:r>
        <w:proofErr w:type="spellEnd"/>
        <w:r w:rsidRPr="00E45C95">
          <w:t xml:space="preserve"> that can be allocated to the </w:t>
        </w:r>
        <w:r>
          <w:t>M-</w:t>
        </w:r>
        <w:r w:rsidRPr="00E45C95">
          <w:t xml:space="preserve">PUSCH of up to 6 UEs. </w:t>
        </w:r>
        <w:r>
          <w:t>Figure 7.4.4.2.2-1</w:t>
        </w:r>
        <w:r w:rsidRPr="00E45C95">
          <w:t xml:space="preserve"> shows that the M-EPDCCH structure outlined above for the downlink is also well-suited to allocate M-PUSCH resources. </w:t>
        </w:r>
      </w:ins>
    </w:p>
    <w:p w:rsidR="00966D37" w:rsidRPr="00E45C95" w:rsidRDefault="00966D37" w:rsidP="00966D37">
      <w:pPr>
        <w:pStyle w:val="Figure"/>
        <w:rPr>
          <w:ins w:id="47" w:author="Yutao Sui" w:date="2015-08-05T03:41:00Z"/>
        </w:rPr>
      </w:pPr>
      <w:ins w:id="48" w:author="Yutao Sui" w:date="2015-08-05T03:41:00Z">
        <w:r w:rsidRPr="00E45C95">
          <w:rPr>
            <w:noProof/>
            <w:lang w:val="sv-SE"/>
          </w:rPr>
          <w:lastRenderedPageBreak/>
          <w:drawing>
            <wp:inline distT="0" distB="0" distL="0" distR="0" wp14:anchorId="0BAD63EC" wp14:editId="15DF1F11">
              <wp:extent cx="4715930" cy="2032045"/>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4446" cy="2035715"/>
                      </a:xfrm>
                      <a:prstGeom prst="rect">
                        <a:avLst/>
                      </a:prstGeom>
                      <a:noFill/>
                      <a:ln>
                        <a:noFill/>
                      </a:ln>
                    </pic:spPr>
                  </pic:pic>
                </a:graphicData>
              </a:graphic>
            </wp:inline>
          </w:drawing>
        </w:r>
      </w:ins>
    </w:p>
    <w:p w:rsidR="00966D37" w:rsidRPr="00E45C95" w:rsidRDefault="00966D37" w:rsidP="00966D37">
      <w:pPr>
        <w:pStyle w:val="Caption"/>
        <w:rPr>
          <w:ins w:id="49" w:author="Yutao Sui" w:date="2015-08-05T03:41:00Z"/>
        </w:rPr>
      </w:pPr>
      <w:ins w:id="50" w:author="Yutao Sui" w:date="2015-08-05T03:41:00Z">
        <w:r>
          <w:t>Figure 7.4.4.2.2-1</w:t>
        </w:r>
        <w:r w:rsidRPr="00E45C95">
          <w:t>: Scheduling M-PUSCH resources by M-EPDCCH</w:t>
        </w:r>
      </w:ins>
    </w:p>
    <w:p w:rsidR="00966D37" w:rsidRPr="00E45C95" w:rsidRDefault="00966D37" w:rsidP="00966D37">
      <w:pPr>
        <w:pStyle w:val="BodyText"/>
        <w:rPr>
          <w:ins w:id="51" w:author="Yutao Sui" w:date="2015-08-05T03:41:00Z"/>
        </w:rPr>
      </w:pPr>
      <w:ins w:id="52" w:author="Yutao Sui" w:date="2015-08-05T03:41:00Z">
        <w:r w:rsidRPr="00E45C95">
          <w:t xml:space="preserve">Without any changes, the DCI formats for scheduling the LTE PUSCH could be re-used to assign M-PUSCH resources on a NB-LTE carrier. As mentioned above, it is however desirable to allocate even narrower </w:t>
        </w:r>
        <w:r>
          <w:t xml:space="preserve">frequency </w:t>
        </w:r>
        <w:r w:rsidRPr="00E45C95">
          <w:t xml:space="preserve">resources for UEs in bad channel conditions. Due to the time domain expansion a PRB covers now 30 kHz bandwidth, i.e., 12 subcarriers of 2.5 kHz each. In “extreme” coverage (~ 164 dB MCL) it is favourable to allocate as little as one subcarrier to a UE. Consequently, the smallest scheduling unit of the M-PUSCH is 6 </w:t>
        </w:r>
        <w:proofErr w:type="spellStart"/>
        <w:r w:rsidRPr="00E45C95">
          <w:t>ms</w:t>
        </w:r>
        <w:proofErr w:type="spellEnd"/>
        <w:r w:rsidRPr="00E45C95">
          <w:t xml:space="preserve"> (1 M-</w:t>
        </w:r>
        <w:proofErr w:type="spellStart"/>
        <w:r w:rsidRPr="00E45C95">
          <w:t>subframe</w:t>
        </w:r>
        <w:proofErr w:type="spellEnd"/>
        <w:r w:rsidRPr="00E45C95">
          <w:t xml:space="preserve">) in time- and 1 subcarrier (2.5 kHz) in frequency domain. To achieve this, the M-EPDCCH needs to support the additional granularity. </w:t>
        </w:r>
      </w:ins>
    </w:p>
    <w:p w:rsidR="00966D37" w:rsidRPr="00E45C95" w:rsidRDefault="00966D37" w:rsidP="00966D37">
      <w:pPr>
        <w:pStyle w:val="BodyText"/>
        <w:rPr>
          <w:ins w:id="53" w:author="Yutao Sui" w:date="2015-08-05T03:41:00Z"/>
        </w:rPr>
      </w:pPr>
      <w:ins w:id="54" w:author="Yutao Sui" w:date="2015-08-05T03:41:00Z">
        <w:r w:rsidRPr="00E45C95">
          <w:t>As for the downlink, a single M-</w:t>
        </w:r>
        <w:proofErr w:type="spellStart"/>
        <w:r w:rsidRPr="00E45C95">
          <w:t>subframe</w:t>
        </w:r>
        <w:proofErr w:type="spellEnd"/>
        <w:r w:rsidRPr="00E45C95">
          <w:t xml:space="preserve"> is not sufficient for the M-PUSCH to carry a transport block of reasonable size. Therefore, multiple subsequent M-</w:t>
        </w:r>
        <w:proofErr w:type="spellStart"/>
        <w:r w:rsidRPr="00E45C95">
          <w:t>subframes</w:t>
        </w:r>
        <w:proofErr w:type="spellEnd"/>
        <w:r w:rsidRPr="00E45C95">
          <w:t xml:space="preserve"> are bundled and the receiver (</w:t>
        </w:r>
        <w:proofErr w:type="spellStart"/>
        <w:r w:rsidRPr="00E45C95">
          <w:t>eNB</w:t>
        </w:r>
        <w:proofErr w:type="spellEnd"/>
        <w:r w:rsidRPr="00E45C95">
          <w:t>) accumulates the M-PUSCH across all these M-</w:t>
        </w:r>
        <w:proofErr w:type="spellStart"/>
        <w:r w:rsidRPr="00E45C95">
          <w:t>subframes</w:t>
        </w:r>
        <w:proofErr w:type="spellEnd"/>
        <w:r w:rsidRPr="00E45C95">
          <w:t xml:space="preserve">. This in combination with the robust M-EPDCCH transmission is depicted in </w:t>
        </w:r>
        <w:r>
          <w:t>Figure 7.4.4.2.2-2</w:t>
        </w:r>
        <w:r w:rsidRPr="00E45C95">
          <w:t>. Performance evaluation results for the M-PUSCH are provided in</w:t>
        </w:r>
        <w:r>
          <w:t xml:space="preserve"> section </w:t>
        </w:r>
        <w:r w:rsidRPr="00E56F39">
          <w:t>7.4.6.1.</w:t>
        </w:r>
        <w:r>
          <w:t>4</w:t>
        </w:r>
        <w:r w:rsidRPr="00E45C95">
          <w:t>.</w:t>
        </w:r>
      </w:ins>
    </w:p>
    <w:p w:rsidR="00966D37" w:rsidRPr="00E45C95" w:rsidRDefault="00966D37" w:rsidP="00966D37">
      <w:pPr>
        <w:pStyle w:val="Figure"/>
        <w:rPr>
          <w:ins w:id="55" w:author="Yutao Sui" w:date="2015-08-05T03:41:00Z"/>
        </w:rPr>
      </w:pPr>
      <w:ins w:id="56" w:author="Yutao Sui" w:date="2015-08-05T03:41:00Z">
        <w:r w:rsidRPr="00E45C95">
          <w:rPr>
            <w:noProof/>
            <w:lang w:val="sv-SE"/>
          </w:rPr>
          <w:drawing>
            <wp:inline distT="0" distB="0" distL="0" distR="0" wp14:anchorId="2BB789D9" wp14:editId="3B3005ED">
              <wp:extent cx="4908173" cy="2695002"/>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5712" cy="2699141"/>
                      </a:xfrm>
                      <a:prstGeom prst="rect">
                        <a:avLst/>
                      </a:prstGeom>
                      <a:noFill/>
                      <a:ln>
                        <a:noFill/>
                      </a:ln>
                    </pic:spPr>
                  </pic:pic>
                </a:graphicData>
              </a:graphic>
            </wp:inline>
          </w:drawing>
        </w:r>
      </w:ins>
    </w:p>
    <w:p w:rsidR="00966D37" w:rsidRPr="00E45C95" w:rsidRDefault="00966D37" w:rsidP="00966D37">
      <w:pPr>
        <w:pStyle w:val="Caption"/>
        <w:rPr>
          <w:ins w:id="57" w:author="Yutao Sui" w:date="2015-08-05T03:41:00Z"/>
        </w:rPr>
      </w:pPr>
      <w:ins w:id="58" w:author="Yutao Sui" w:date="2015-08-05T03:41:00Z">
        <w:r>
          <w:t>Figure 7.4.4.2.2-2</w:t>
        </w:r>
        <w:r w:rsidRPr="00E45C95">
          <w:t>: Scheduling M-PUSCH resources by M-EPDCCH in extreme coverage</w:t>
        </w:r>
      </w:ins>
    </w:p>
    <w:p w:rsidR="005C23D9" w:rsidRPr="006341D0" w:rsidRDefault="005C23D9" w:rsidP="006341D0">
      <w:pPr>
        <w:rPr>
          <w:rFonts w:eastAsiaTheme="minorEastAsia"/>
        </w:rPr>
      </w:pPr>
      <w:bookmarkStart w:id="59" w:name="_GoBack"/>
      <w:bookmarkEnd w:id="59"/>
    </w:p>
    <w:sectPr w:rsidR="005C23D9" w:rsidRPr="006341D0" w:rsidSect="00FB4A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367" w:rsidRDefault="00177367">
      <w:r>
        <w:separator/>
      </w:r>
    </w:p>
  </w:endnote>
  <w:endnote w:type="continuationSeparator" w:id="0">
    <w:p w:rsidR="00177367" w:rsidRDefault="0017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367" w:rsidRDefault="00177367">
      <w:r>
        <w:separator/>
      </w:r>
    </w:p>
  </w:footnote>
  <w:footnote w:type="continuationSeparator" w:id="0">
    <w:p w:rsidR="00177367" w:rsidRDefault="00177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CB4A30">
    <w:pPr>
      <w:pStyle w:val="Header"/>
      <w:tabs>
        <w:tab w:val="right" w:pos="9356"/>
      </w:tabs>
      <w:rPr>
        <w:lang w:val="es-ES"/>
      </w:rPr>
    </w:pPr>
    <w:r w:rsidRPr="00FD4A3C">
      <w:rPr>
        <w:lang w:val="es-ES"/>
      </w:rPr>
      <w:t>3</w:t>
    </w:r>
    <w:r>
      <w:rPr>
        <w:lang w:val="es-ES"/>
      </w:rPr>
      <w:t>GPP TSG GERAN #6</w:t>
    </w:r>
    <w:r w:rsidR="00044029">
      <w:rPr>
        <w:lang w:val="es-ES"/>
      </w:rPr>
      <w:t>7</w:t>
    </w:r>
    <w:r>
      <w:rPr>
        <w:lang w:val="es-ES"/>
      </w:rPr>
      <w:t xml:space="preserve"> Meeting</w:t>
    </w:r>
    <w:r w:rsidR="00CB4A30">
      <w:rPr>
        <w:lang w:val="es-ES"/>
      </w:rPr>
      <w:tab/>
    </w:r>
    <w:r w:rsidR="00772829" w:rsidRPr="00772829">
      <w:rPr>
        <w:lang w:val="es-ES"/>
      </w:rPr>
      <w:t>GP-150826</w:t>
    </w:r>
  </w:p>
  <w:p w:rsidR="00916DA9" w:rsidRDefault="00916DA9" w:rsidP="00CB4A30">
    <w:pPr>
      <w:pStyle w:val="Header"/>
      <w:tabs>
        <w:tab w:val="right" w:pos="9356"/>
      </w:tabs>
      <w:rPr>
        <w:lang w:val="es-ES"/>
      </w:rPr>
    </w:pPr>
    <w:r>
      <w:rPr>
        <w:lang w:val="es-ES"/>
      </w:rPr>
      <w:t>Yinchuan, China</w:t>
    </w:r>
    <w:r>
      <w:rPr>
        <w:lang w:val="es-ES"/>
      </w:rPr>
      <w:tab/>
      <w:t xml:space="preserve">   </w:t>
    </w:r>
    <w:r w:rsidRPr="00FD4A3C">
      <w:rPr>
        <w:lang w:val="es-ES"/>
      </w:rPr>
      <w:t xml:space="preserve">Agenda item </w:t>
    </w:r>
    <w:r w:rsidR="00CB4A30" w:rsidRPr="00CB4A30">
      <w:rPr>
        <w:lang w:val="es-ES"/>
      </w:rPr>
      <w:t>7.1.5.3.5.7</w:t>
    </w:r>
    <w:r w:rsidR="00CB4A30">
      <w:rPr>
        <w:lang w:val="es-ES"/>
      </w:rPr>
      <w:t xml:space="preserve"> &amp; </w:t>
    </w:r>
    <w:r w:rsidR="00CB4A30" w:rsidRPr="00CB4A30">
      <w:rPr>
        <w:lang w:val="es-ES"/>
      </w:rPr>
      <w:t>7.2.5.3.4.7</w:t>
    </w:r>
  </w:p>
  <w:p w:rsidR="00CB4A30" w:rsidRDefault="00916DA9" w:rsidP="00CB4A30">
    <w:pPr>
      <w:pStyle w:val="Header"/>
      <w:tabs>
        <w:tab w:val="right" w:pos="9356"/>
      </w:tabs>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sidR="00CB4A30">
      <w:rPr>
        <w:lang w:val="es-ES"/>
      </w:rPr>
      <w:t xml:space="preserve"> Aug, 2015</w:t>
    </w:r>
  </w:p>
  <w:p w:rsidR="00916DA9" w:rsidRDefault="00916DA9" w:rsidP="00CB4A30">
    <w:pPr>
      <w:pStyle w:val="Header"/>
      <w:tabs>
        <w:tab w:val="right" w:pos="9356"/>
      </w:tabs>
    </w:pPr>
    <w:r w:rsidRPr="00EC18FB">
      <w:t>Source: Ericsson</w:t>
    </w:r>
    <w:r w:rsidR="00CB4A30">
      <w:t>, Nokia Networks</w:t>
    </w:r>
  </w:p>
  <w:p w:rsidR="00916DA9" w:rsidRDefault="00916DA9" w:rsidP="00CB4A30">
    <w:pPr>
      <w:pStyle w:val="Header"/>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1"/>
  </w:num>
  <w:num w:numId="22">
    <w:abstractNumId w:val="27"/>
  </w:num>
  <w:num w:numId="23">
    <w:abstractNumId w:val="17"/>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8"/>
  </w:num>
  <w:num w:numId="32">
    <w:abstractNumId w:val="31"/>
  </w:num>
  <w:num w:numId="33">
    <w:abstractNumId w:val="16"/>
  </w:num>
  <w:num w:numId="34">
    <w:abstractNumId w:val="6"/>
  </w:num>
  <w:num w:numId="35">
    <w:abstractNumId w:val="32"/>
  </w:num>
  <w:num w:numId="36">
    <w:abstractNumId w:val="12"/>
  </w:num>
  <w:num w:numId="37">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47D8"/>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4029"/>
    <w:rsid w:val="000456DA"/>
    <w:rsid w:val="00046152"/>
    <w:rsid w:val="00046679"/>
    <w:rsid w:val="00050175"/>
    <w:rsid w:val="000519AB"/>
    <w:rsid w:val="00053079"/>
    <w:rsid w:val="00053533"/>
    <w:rsid w:val="00053577"/>
    <w:rsid w:val="00054CA0"/>
    <w:rsid w:val="0005628E"/>
    <w:rsid w:val="00056A12"/>
    <w:rsid w:val="000575BA"/>
    <w:rsid w:val="00057C70"/>
    <w:rsid w:val="00062F34"/>
    <w:rsid w:val="0006546C"/>
    <w:rsid w:val="000667A2"/>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45E9"/>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6561B"/>
    <w:rsid w:val="00170B5B"/>
    <w:rsid w:val="00170EE4"/>
    <w:rsid w:val="0017130B"/>
    <w:rsid w:val="001726A6"/>
    <w:rsid w:val="0017536A"/>
    <w:rsid w:val="00177367"/>
    <w:rsid w:val="00177FC6"/>
    <w:rsid w:val="00180B75"/>
    <w:rsid w:val="00183477"/>
    <w:rsid w:val="0018354A"/>
    <w:rsid w:val="00184541"/>
    <w:rsid w:val="0018491E"/>
    <w:rsid w:val="001856E3"/>
    <w:rsid w:val="0018577F"/>
    <w:rsid w:val="00185BC6"/>
    <w:rsid w:val="0018665E"/>
    <w:rsid w:val="00190173"/>
    <w:rsid w:val="00190C61"/>
    <w:rsid w:val="0019200E"/>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2FD9"/>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0812"/>
    <w:rsid w:val="002B1E2E"/>
    <w:rsid w:val="002B47A7"/>
    <w:rsid w:val="002B54A3"/>
    <w:rsid w:val="002B5907"/>
    <w:rsid w:val="002B6A31"/>
    <w:rsid w:val="002C0DE5"/>
    <w:rsid w:val="002C1B83"/>
    <w:rsid w:val="002C3261"/>
    <w:rsid w:val="002C5E89"/>
    <w:rsid w:val="002C62E4"/>
    <w:rsid w:val="002D08D7"/>
    <w:rsid w:val="002D2C6F"/>
    <w:rsid w:val="002D5EB2"/>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199"/>
    <w:rsid w:val="0030762A"/>
    <w:rsid w:val="003115D2"/>
    <w:rsid w:val="00313F8B"/>
    <w:rsid w:val="00314948"/>
    <w:rsid w:val="003150A2"/>
    <w:rsid w:val="003176E3"/>
    <w:rsid w:val="00323261"/>
    <w:rsid w:val="003239E4"/>
    <w:rsid w:val="00325E10"/>
    <w:rsid w:val="003267C5"/>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34"/>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58BD"/>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8A6"/>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319"/>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3E3"/>
    <w:rsid w:val="005966AE"/>
    <w:rsid w:val="005A10B7"/>
    <w:rsid w:val="005A17AE"/>
    <w:rsid w:val="005A249E"/>
    <w:rsid w:val="005A3415"/>
    <w:rsid w:val="005A57B7"/>
    <w:rsid w:val="005A6AA4"/>
    <w:rsid w:val="005B0B79"/>
    <w:rsid w:val="005B11DC"/>
    <w:rsid w:val="005B480C"/>
    <w:rsid w:val="005B5915"/>
    <w:rsid w:val="005B6178"/>
    <w:rsid w:val="005B7DF3"/>
    <w:rsid w:val="005C1798"/>
    <w:rsid w:val="005C1E4E"/>
    <w:rsid w:val="005C23D9"/>
    <w:rsid w:val="005C3BEA"/>
    <w:rsid w:val="005C4628"/>
    <w:rsid w:val="005C4A1B"/>
    <w:rsid w:val="005C5F32"/>
    <w:rsid w:val="005D00B7"/>
    <w:rsid w:val="005D0772"/>
    <w:rsid w:val="005D24EF"/>
    <w:rsid w:val="005D4807"/>
    <w:rsid w:val="005D4FF2"/>
    <w:rsid w:val="005D6699"/>
    <w:rsid w:val="005D6E84"/>
    <w:rsid w:val="005D7214"/>
    <w:rsid w:val="005D761D"/>
    <w:rsid w:val="005D7CF1"/>
    <w:rsid w:val="005E03DD"/>
    <w:rsid w:val="005E16E8"/>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29"/>
    <w:rsid w:val="00772891"/>
    <w:rsid w:val="0077369C"/>
    <w:rsid w:val="00775A57"/>
    <w:rsid w:val="00781F19"/>
    <w:rsid w:val="00782665"/>
    <w:rsid w:val="00784752"/>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1F1E"/>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AA8"/>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27E"/>
    <w:rsid w:val="008566FB"/>
    <w:rsid w:val="0086016B"/>
    <w:rsid w:val="008613D0"/>
    <w:rsid w:val="008626B2"/>
    <w:rsid w:val="00862D76"/>
    <w:rsid w:val="00864CF4"/>
    <w:rsid w:val="008650D0"/>
    <w:rsid w:val="0086518D"/>
    <w:rsid w:val="00871F7E"/>
    <w:rsid w:val="00874A23"/>
    <w:rsid w:val="008757AD"/>
    <w:rsid w:val="00876557"/>
    <w:rsid w:val="00876736"/>
    <w:rsid w:val="00877D71"/>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97F71"/>
    <w:rsid w:val="008A2018"/>
    <w:rsid w:val="008A27AB"/>
    <w:rsid w:val="008B07B9"/>
    <w:rsid w:val="008B13C1"/>
    <w:rsid w:val="008B1CDB"/>
    <w:rsid w:val="008B24C7"/>
    <w:rsid w:val="008B4E32"/>
    <w:rsid w:val="008B606F"/>
    <w:rsid w:val="008B6C73"/>
    <w:rsid w:val="008B7B4A"/>
    <w:rsid w:val="008C0F7D"/>
    <w:rsid w:val="008C165C"/>
    <w:rsid w:val="008C54D9"/>
    <w:rsid w:val="008C60E9"/>
    <w:rsid w:val="008D0A30"/>
    <w:rsid w:val="008D0ECF"/>
    <w:rsid w:val="008D3943"/>
    <w:rsid w:val="008D4C85"/>
    <w:rsid w:val="008D5DA4"/>
    <w:rsid w:val="008D5F60"/>
    <w:rsid w:val="008D68FC"/>
    <w:rsid w:val="008D6DD9"/>
    <w:rsid w:val="008E0398"/>
    <w:rsid w:val="008E0BB9"/>
    <w:rsid w:val="008E2D95"/>
    <w:rsid w:val="008E3332"/>
    <w:rsid w:val="008E4691"/>
    <w:rsid w:val="008E54B9"/>
    <w:rsid w:val="008E68A1"/>
    <w:rsid w:val="008F2DA8"/>
    <w:rsid w:val="008F3928"/>
    <w:rsid w:val="008F3A92"/>
    <w:rsid w:val="008F4F20"/>
    <w:rsid w:val="008F5638"/>
    <w:rsid w:val="008F6E8E"/>
    <w:rsid w:val="008F79E0"/>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66D37"/>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3C32"/>
    <w:rsid w:val="00A342B3"/>
    <w:rsid w:val="00A35F45"/>
    <w:rsid w:val="00A37A98"/>
    <w:rsid w:val="00A401E5"/>
    <w:rsid w:val="00A42D07"/>
    <w:rsid w:val="00A43C40"/>
    <w:rsid w:val="00A43CEA"/>
    <w:rsid w:val="00A45265"/>
    <w:rsid w:val="00A468CA"/>
    <w:rsid w:val="00A478E8"/>
    <w:rsid w:val="00A5023A"/>
    <w:rsid w:val="00A51720"/>
    <w:rsid w:val="00A52C7F"/>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217"/>
    <w:rsid w:val="00AA1FFA"/>
    <w:rsid w:val="00AA37F9"/>
    <w:rsid w:val="00AA44A5"/>
    <w:rsid w:val="00AA4543"/>
    <w:rsid w:val="00AA5000"/>
    <w:rsid w:val="00AA532B"/>
    <w:rsid w:val="00AA5752"/>
    <w:rsid w:val="00AA5896"/>
    <w:rsid w:val="00AA7022"/>
    <w:rsid w:val="00AB14A3"/>
    <w:rsid w:val="00AB19E1"/>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3827"/>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89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A0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036A"/>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A30"/>
    <w:rsid w:val="00CB4D1A"/>
    <w:rsid w:val="00CB5A42"/>
    <w:rsid w:val="00CB5BC8"/>
    <w:rsid w:val="00CC0721"/>
    <w:rsid w:val="00CC2BFA"/>
    <w:rsid w:val="00CC32CC"/>
    <w:rsid w:val="00CC3E22"/>
    <w:rsid w:val="00CC3EE7"/>
    <w:rsid w:val="00CC581C"/>
    <w:rsid w:val="00CC6E78"/>
    <w:rsid w:val="00CD03BE"/>
    <w:rsid w:val="00CD1450"/>
    <w:rsid w:val="00CD1868"/>
    <w:rsid w:val="00CD1FCD"/>
    <w:rsid w:val="00CD4800"/>
    <w:rsid w:val="00CD4BFF"/>
    <w:rsid w:val="00CD6401"/>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4A5E"/>
    <w:rsid w:val="00D45F19"/>
    <w:rsid w:val="00D469D6"/>
    <w:rsid w:val="00D50054"/>
    <w:rsid w:val="00D50115"/>
    <w:rsid w:val="00D51063"/>
    <w:rsid w:val="00D520E4"/>
    <w:rsid w:val="00D54AB0"/>
    <w:rsid w:val="00D563DC"/>
    <w:rsid w:val="00D56DC7"/>
    <w:rsid w:val="00D57570"/>
    <w:rsid w:val="00D57DFA"/>
    <w:rsid w:val="00D6070B"/>
    <w:rsid w:val="00D625C4"/>
    <w:rsid w:val="00D635FD"/>
    <w:rsid w:val="00D64017"/>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6F39"/>
    <w:rsid w:val="00E57B74"/>
    <w:rsid w:val="00E60BBD"/>
    <w:rsid w:val="00E62E54"/>
    <w:rsid w:val="00E64579"/>
    <w:rsid w:val="00E651B4"/>
    <w:rsid w:val="00E66FF2"/>
    <w:rsid w:val="00E728A3"/>
    <w:rsid w:val="00E72BA4"/>
    <w:rsid w:val="00E73B0E"/>
    <w:rsid w:val="00E76167"/>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6890"/>
    <w:rsid w:val="00F072D8"/>
    <w:rsid w:val="00F10659"/>
    <w:rsid w:val="00F10C3F"/>
    <w:rsid w:val="00F12DAB"/>
    <w:rsid w:val="00F14EC2"/>
    <w:rsid w:val="00F14FB3"/>
    <w:rsid w:val="00F160E2"/>
    <w:rsid w:val="00F16AC5"/>
    <w:rsid w:val="00F16F5F"/>
    <w:rsid w:val="00F173F4"/>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3305"/>
    <w:rsid w:val="00F76746"/>
    <w:rsid w:val="00F76867"/>
    <w:rsid w:val="00F76B02"/>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7F6"/>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5C23D9"/>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5C23D9"/>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7A4CE-D8CB-4378-AA72-D31D120E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Pages>
  <Words>1591</Words>
  <Characters>8434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10005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55</cp:revision>
  <dcterms:created xsi:type="dcterms:W3CDTF">2015-07-31T13:24:00Z</dcterms:created>
  <dcterms:modified xsi:type="dcterms:W3CDTF">2015-08-05T01:41:00Z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